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Ардатовский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Ардатовского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Арзамасский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"МФЦ Арзамасского района"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Балахнинский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Балахнинского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Богородский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 Богородского района"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Большеболдинский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Большеболдинского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Большемурашкинский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"МФЦ" Большемурашкинского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Бутурлинский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Бутурлинского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Вадский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"МФЦ Вадского района"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Варнавинский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Варнавинского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Вачский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"МФЦ" Вачского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Ветлужский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Ветлужского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Вознесенский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 Вознесенского района"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Володарский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Володарского муниципального района (г.Володарск)»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Филиал МБУ «МФЦ Володарского муниципального района (п. Мулино)»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Воротынский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МАУ "МФЦ" Воротынского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Воскресенский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"МФЦ" Воскресенского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Гагинский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"МФЦ" Гагинского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Городецкий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МАУ «МФЦ Городецкого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МАУ «МФЦ Городецкого района (Заволжье)»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Дальнеконстантиновский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«МФЦ Дальнеконстантиновского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Дивеевский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Дивеевского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Княгининский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МАУ «МФЦ Княгининского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Ковернинский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Ковернинского муниципального район»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Краснобаковский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«МФЦ Краснобаковского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Краснооктябрьский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Краснооктябрьского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Кстовский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 Кстовского района"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Лукояновский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Лукояновского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Лысковский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Лысковского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Павловский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Отдел МБУ "МФЦ Павловского района (г.Ворсма)"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МФЦ "Павловский"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Перевозский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lastRenderedPageBreak/>
        <w:t>o</w:t>
      </w:r>
      <w:r>
        <w:tab/>
        <w:t>МБУ «МФЦ Перевозского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Пильнинский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МАУ «МФЦ Пильнинского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Починовский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«МФЦ Починковского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Сергачский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"МФЦ" Сергачского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Сеченовский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"МФЦ" Сеченовского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Сосновский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«МФЦ Сосновского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Спасский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МАУ "МФЦ" Спасского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Тонкинский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"МФЦ" Тонкинского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Тоншаевский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Тоншаевского муниципального района»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Уренский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"МФЦ" Уренского района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Шарангский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 Шарангского района"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Шатковский район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 Шатковского района"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Навашинский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городского округа Навашинский»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Семеновский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"МФЦ городского округа Семеновский"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Сокольский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городского округа Сокольский»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г.Арзамас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города Арзамас»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г.Бор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МАУ «МФЦ г. Бор»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г.Выкса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город Выкса»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г.Дзержинск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 город Дзержинск"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 город Дзержинск"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г.Кулебаки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«МФЦ городского округа город Кулебаки»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г.Нижний Новгород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МФЦ для бизнеса</w:t>
      </w:r>
      <w:bookmarkStart w:id="0" w:name="_GoBack"/>
      <w:bookmarkEnd w:id="0"/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Отдел МКУ «МФЦ г. Нижнего Новгорода» в Нижегородском районе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Отдел МКУ «МФЦ г. Нижнего Новгорода» в Советском районе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Отдел МКУ «МФЦ г. Нижнего Новгорода» в Московском районе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Отдел МКУ "МФЦ г.Нижнего Новгорода" в Ленинском районе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Отдел МКУ "МФЦ г. Нижнего Новгорода" в Приокском районе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Отдел МКУ "МФЦ г. Нижнего Новгорода" в Канавинском районе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Отдел МКУ "МФЦ г. Нижнего Новгорода" в Автозаводском районе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Отдел МКУ "МФЦ г. Нижнего Новгорода" в Сормовском районе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г.Первомайск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МКУ «МФЦ г. Первомайск»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г.Саров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МБУ "МФЦ" г.Саров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г.Чкаловск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"МФЦ городского округа город Чкаловск"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•</w:t>
      </w:r>
      <w:r>
        <w:tab/>
        <w:t>городской округ г.Шахунья</w:t>
      </w:r>
    </w:p>
    <w:p w:rsidR="004E1D5C" w:rsidRDefault="004E1D5C" w:rsidP="004E1D5C">
      <w:pPr>
        <w:spacing w:line="240" w:lineRule="auto"/>
        <w:ind w:left="57" w:right="57"/>
        <w:contextualSpacing/>
      </w:pPr>
      <w:r>
        <w:t>o</w:t>
      </w:r>
      <w:r>
        <w:tab/>
        <w:t>МАУ «МФЦ г.Шахунья»</w:t>
      </w:r>
    </w:p>
    <w:sectPr w:rsidR="004E1D5C" w:rsidSect="004E1D5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63FB"/>
    <w:multiLevelType w:val="multilevel"/>
    <w:tmpl w:val="B64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E"/>
    <w:rsid w:val="002C7BFE"/>
    <w:rsid w:val="004E1D5C"/>
    <w:rsid w:val="006843F7"/>
    <w:rsid w:val="009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693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500">
              <w:marLeft w:val="225"/>
              <w:marRight w:val="1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25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529"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48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86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5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46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9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71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Шилова Т.А.</cp:lastModifiedBy>
  <cp:revision>3</cp:revision>
  <dcterms:created xsi:type="dcterms:W3CDTF">2018-05-08T07:04:00Z</dcterms:created>
  <dcterms:modified xsi:type="dcterms:W3CDTF">2018-05-08T07:08:00Z</dcterms:modified>
</cp:coreProperties>
</file>